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917E" w14:textId="77777777" w:rsidR="006649FF" w:rsidRPr="006649FF" w:rsidRDefault="006649FF" w:rsidP="006649FF">
      <w:pPr>
        <w:pStyle w:val="MORI"/>
        <w:jc w:val="center"/>
        <w:rPr>
          <w:b/>
          <w:sz w:val="32"/>
          <w:szCs w:val="32"/>
          <w:lang w:val="es-CL"/>
        </w:rPr>
      </w:pPr>
      <w:bookmarkStart w:id="0" w:name="_GoBack"/>
      <w:bookmarkEnd w:id="0"/>
      <w:r w:rsidRPr="006649FF">
        <w:rPr>
          <w:b/>
          <w:bCs/>
          <w:sz w:val="32"/>
          <w:szCs w:val="32"/>
          <w:lang w:val="es-CL"/>
        </w:rPr>
        <w:t>COMUNICADO DE PRENSA</w:t>
      </w:r>
      <w:r w:rsidRPr="006649FF">
        <w:rPr>
          <w:b/>
          <w:sz w:val="32"/>
          <w:szCs w:val="32"/>
          <w:lang w:val="es-CL"/>
        </w:rPr>
        <w:t xml:space="preserve"> </w:t>
      </w:r>
    </w:p>
    <w:p w14:paraId="17C87F18" w14:textId="77777777" w:rsidR="006649FF" w:rsidRDefault="006649FF" w:rsidP="006649FF">
      <w:pPr>
        <w:pStyle w:val="MORI"/>
        <w:jc w:val="center"/>
        <w:rPr>
          <w:b/>
          <w:lang w:val="es-CL"/>
        </w:rPr>
      </w:pPr>
    </w:p>
    <w:p w14:paraId="01C079FD" w14:textId="77777777" w:rsidR="006649FF" w:rsidRDefault="00274D1A" w:rsidP="006649FF">
      <w:pPr>
        <w:pStyle w:val="MORI"/>
        <w:jc w:val="center"/>
        <w:rPr>
          <w:b/>
          <w:lang w:val="es-CL"/>
        </w:rPr>
      </w:pPr>
      <w:r>
        <w:rPr>
          <w:b/>
          <w:lang w:val="es-CL"/>
        </w:rPr>
        <w:t xml:space="preserve">MONITOR DE RESPONSABILIDAD SOCIAL CORPORATIVA </w:t>
      </w:r>
    </w:p>
    <w:p w14:paraId="50149036" w14:textId="77777777" w:rsidR="00274D1A" w:rsidRDefault="00274D1A" w:rsidP="006649FF">
      <w:pPr>
        <w:pStyle w:val="MORI"/>
        <w:jc w:val="center"/>
        <w:rPr>
          <w:b/>
          <w:lang w:val="es-CL"/>
        </w:rPr>
      </w:pPr>
      <w:r>
        <w:rPr>
          <w:b/>
          <w:lang w:val="es-CL"/>
        </w:rPr>
        <w:t>2000-2015</w:t>
      </w:r>
    </w:p>
    <w:p w14:paraId="3FED5564" w14:textId="77777777" w:rsidR="0051550A" w:rsidRPr="006649FF" w:rsidRDefault="0051550A" w:rsidP="006649FF">
      <w:pPr>
        <w:pStyle w:val="MORI"/>
        <w:jc w:val="center"/>
        <w:rPr>
          <w:b/>
          <w:bCs/>
          <w:lang w:val="es-CL"/>
        </w:rPr>
      </w:pPr>
      <w:r>
        <w:rPr>
          <w:b/>
          <w:lang w:val="es-CL"/>
        </w:rPr>
        <w:t>DÉCIMOQUINTA MEDICIÓN</w:t>
      </w:r>
    </w:p>
    <w:p w14:paraId="0EF1ABC8" w14:textId="77777777" w:rsidR="006649FF" w:rsidRPr="006649FF" w:rsidRDefault="006649FF" w:rsidP="006649FF">
      <w:pPr>
        <w:pStyle w:val="MORI"/>
        <w:jc w:val="center"/>
        <w:rPr>
          <w:b/>
          <w:bCs/>
          <w:lang w:val="es-CL"/>
        </w:rPr>
      </w:pPr>
    </w:p>
    <w:p w14:paraId="6857D1F3" w14:textId="77777777" w:rsidR="006649FF" w:rsidRPr="006649FF" w:rsidRDefault="006649FF" w:rsidP="006649FF">
      <w:pPr>
        <w:pStyle w:val="MORI"/>
        <w:jc w:val="center"/>
        <w:rPr>
          <w:b/>
          <w:lang w:val="en-US"/>
        </w:rPr>
      </w:pPr>
    </w:p>
    <w:p w14:paraId="0C1E3D42" w14:textId="77777777" w:rsidR="00274D1A" w:rsidRDefault="00274D1A" w:rsidP="00274D1A">
      <w:pPr>
        <w:pStyle w:val="MORI"/>
        <w:jc w:val="both"/>
        <w:rPr>
          <w:b/>
          <w:bCs/>
          <w:lang w:val="es-CL"/>
        </w:rPr>
      </w:pPr>
      <w:r w:rsidRPr="00274D1A">
        <w:rPr>
          <w:b/>
          <w:bCs/>
          <w:lang w:val="es-CL"/>
        </w:rPr>
        <w:t xml:space="preserve">El MONITOR DE RESPONSABILIDAD SOCIAL CSR CORPORATE SOCIAL RESPONSIBILITY MONITOR de MORI se realiza comparativamente con otros </w:t>
      </w:r>
      <w:r w:rsidR="0051550A">
        <w:rPr>
          <w:b/>
          <w:bCs/>
          <w:lang w:val="es-CL"/>
        </w:rPr>
        <w:t>25 países a través de Globescan desde el año 2000</w:t>
      </w:r>
    </w:p>
    <w:p w14:paraId="7F20C89E" w14:textId="77777777" w:rsidR="00274D1A" w:rsidRPr="00274D1A" w:rsidRDefault="00274D1A" w:rsidP="00274D1A">
      <w:pPr>
        <w:pStyle w:val="MORI"/>
        <w:jc w:val="both"/>
        <w:rPr>
          <w:b/>
          <w:bCs/>
          <w:lang w:val="es-CL"/>
        </w:rPr>
      </w:pPr>
    </w:p>
    <w:p w14:paraId="27BD45B8" w14:textId="77777777" w:rsidR="00274D1A" w:rsidRPr="00274D1A" w:rsidRDefault="00274D1A" w:rsidP="00274D1A">
      <w:pPr>
        <w:pStyle w:val="MORI"/>
        <w:jc w:val="both"/>
        <w:rPr>
          <w:b/>
          <w:bCs/>
          <w:lang w:val="es-CL"/>
        </w:rPr>
      </w:pPr>
      <w:r w:rsidRPr="00274D1A">
        <w:rPr>
          <w:b/>
          <w:bCs/>
          <w:lang w:val="es-CL"/>
        </w:rPr>
        <w:t>Este estudio mide la percepción de Responsabilidad Social de los chilenos may</w:t>
      </w:r>
      <w:r w:rsidR="0051550A">
        <w:rPr>
          <w:b/>
          <w:bCs/>
          <w:lang w:val="es-CL"/>
        </w:rPr>
        <w:t>ores de 18 años de todo el país, es decir toda la población del país.</w:t>
      </w:r>
      <w:r w:rsidRPr="00274D1A">
        <w:rPr>
          <w:b/>
          <w:bCs/>
          <w:lang w:val="es-CL"/>
        </w:rPr>
        <w:t xml:space="preserve"> </w:t>
      </w:r>
    </w:p>
    <w:p w14:paraId="2328621C" w14:textId="77777777" w:rsidR="00274D1A" w:rsidRDefault="00274D1A" w:rsidP="00445605">
      <w:pPr>
        <w:pStyle w:val="MORI"/>
        <w:jc w:val="both"/>
      </w:pPr>
    </w:p>
    <w:p w14:paraId="5F48A3D6" w14:textId="022516DE" w:rsidR="009F5075" w:rsidRDefault="003B33CC" w:rsidP="00445605">
      <w:pPr>
        <w:pStyle w:val="MORI"/>
        <w:jc w:val="both"/>
      </w:pPr>
      <w:r>
        <w:t xml:space="preserve">FICHA TËCNICA : Se aplican 1200 entrevistas cara a cara a todos los mayores de 18 años de Arica a Punta Arenas, representando a toda la población del país, entre </w:t>
      </w:r>
      <w:r w:rsidR="00BA48DC">
        <w:t xml:space="preserve"> el 12 de Diciembre y el 10 de Enero del 2015</w:t>
      </w:r>
      <w:r>
        <w:t>. El margen de error es el 3%.</w:t>
      </w:r>
    </w:p>
    <w:p w14:paraId="00C23684" w14:textId="77777777" w:rsidR="00274D1A" w:rsidRDefault="00274D1A" w:rsidP="00445605">
      <w:pPr>
        <w:pStyle w:val="MORI"/>
        <w:jc w:val="both"/>
      </w:pPr>
    </w:p>
    <w:p w14:paraId="35B21D67" w14:textId="77777777" w:rsidR="00470612" w:rsidRDefault="00470612" w:rsidP="00445605">
      <w:pPr>
        <w:pStyle w:val="MORI"/>
        <w:jc w:val="both"/>
      </w:pPr>
      <w:r>
        <w:t xml:space="preserve">Se presentan aquí los resultados del ranking  top ten de empresas responsables y el ranking   top </w:t>
      </w:r>
      <w:proofErr w:type="spellStart"/>
      <w:r>
        <w:t>five</w:t>
      </w:r>
      <w:proofErr w:type="spellEnd"/>
      <w:r>
        <w:t xml:space="preserve"> de empresas no responsables.</w:t>
      </w:r>
    </w:p>
    <w:p w14:paraId="625A9F71" w14:textId="77777777" w:rsidR="00274D1A" w:rsidRDefault="00274D1A" w:rsidP="00274D1A">
      <w:pPr>
        <w:pStyle w:val="MORI"/>
        <w:jc w:val="both"/>
      </w:pPr>
    </w:p>
    <w:p w14:paraId="49A3AC42" w14:textId="77777777" w:rsidR="006649FF" w:rsidRPr="00EF4373" w:rsidRDefault="00274D1A" w:rsidP="00445605">
      <w:pPr>
        <w:pStyle w:val="MORI"/>
        <w:jc w:val="both"/>
        <w:rPr>
          <w:b/>
        </w:rPr>
      </w:pPr>
      <w:r>
        <w:rPr>
          <w:b/>
        </w:rPr>
        <w:t>Las Top Ten</w:t>
      </w:r>
    </w:p>
    <w:p w14:paraId="271443A2" w14:textId="77777777" w:rsidR="006649FF" w:rsidRDefault="006649FF" w:rsidP="00445605">
      <w:pPr>
        <w:pStyle w:val="MORI"/>
        <w:jc w:val="both"/>
      </w:pPr>
    </w:p>
    <w:p w14:paraId="4F7367A8" w14:textId="73534F20" w:rsidR="00274D1A" w:rsidRDefault="00274D1A" w:rsidP="00274D1A">
      <w:pPr>
        <w:pStyle w:val="MORI"/>
        <w:jc w:val="both"/>
        <w:rPr>
          <w:lang w:val="es-CL"/>
        </w:rPr>
      </w:pPr>
      <w:r w:rsidRPr="00274D1A">
        <w:rPr>
          <w:lang w:val="es-CL"/>
        </w:rPr>
        <w:t xml:space="preserve">En una pregunta cerrada se entrega una  lista con todas las empresas. </w:t>
      </w:r>
      <w:r w:rsidR="007F54E8">
        <w:rPr>
          <w:lang w:val="es-CL"/>
        </w:rPr>
        <w:t xml:space="preserve"> Su</w:t>
      </w:r>
      <w:r w:rsidRPr="00274D1A">
        <w:rPr>
          <w:lang w:val="es-CL"/>
        </w:rPr>
        <w:t xml:space="preserve"> respuesta entrega el ranking de  las Top Ten.</w:t>
      </w:r>
    </w:p>
    <w:p w14:paraId="195C6EA7" w14:textId="77777777" w:rsidR="00274D1A" w:rsidRPr="00274D1A" w:rsidRDefault="00274D1A" w:rsidP="00274D1A">
      <w:pPr>
        <w:pStyle w:val="MORI"/>
        <w:jc w:val="both"/>
        <w:rPr>
          <w:lang w:val="es-CL"/>
        </w:rPr>
      </w:pPr>
    </w:p>
    <w:p w14:paraId="0A0DAF40" w14:textId="1E66A131" w:rsidR="00274D1A" w:rsidRDefault="007F54E8" w:rsidP="00274D1A">
      <w:pPr>
        <w:pStyle w:val="MORI"/>
        <w:jc w:val="both"/>
        <w:rPr>
          <w:lang w:val="es-CL"/>
        </w:rPr>
      </w:pPr>
      <w:r>
        <w:rPr>
          <w:lang w:val="es-CL"/>
        </w:rPr>
        <w:t>A lo largo del tiempo o</w:t>
      </w:r>
      <w:r w:rsidR="00274D1A" w:rsidRPr="00274D1A">
        <w:rPr>
          <w:lang w:val="es-CL"/>
        </w:rPr>
        <w:t>bservamos un desplome de la responsabilidad social de las empresas en general. Incluso Codelco  se mantiene pr</w:t>
      </w:r>
      <w:r w:rsidR="00274D1A">
        <w:rPr>
          <w:lang w:val="es-CL"/>
        </w:rPr>
        <w:t>imera pero con menos menciones (21%)</w:t>
      </w:r>
      <w:r>
        <w:rPr>
          <w:lang w:val="es-CL"/>
        </w:rPr>
        <w:t>.</w:t>
      </w:r>
    </w:p>
    <w:p w14:paraId="4A08CEAA" w14:textId="77777777" w:rsidR="00274D1A" w:rsidRPr="00274D1A" w:rsidRDefault="00274D1A" w:rsidP="00274D1A">
      <w:pPr>
        <w:pStyle w:val="MORI"/>
        <w:jc w:val="both"/>
        <w:rPr>
          <w:lang w:val="es-CL"/>
        </w:rPr>
      </w:pPr>
    </w:p>
    <w:p w14:paraId="4EED343C" w14:textId="41F806F6" w:rsidR="00274D1A" w:rsidRDefault="007F54E8" w:rsidP="00274D1A">
      <w:pPr>
        <w:pStyle w:val="MORI"/>
        <w:jc w:val="both"/>
        <w:rPr>
          <w:lang w:val="es-CL"/>
        </w:rPr>
      </w:pPr>
      <w:r>
        <w:rPr>
          <w:lang w:val="es-CL"/>
        </w:rPr>
        <w:t>Pero lo más interesante en 2015 es que e</w:t>
      </w:r>
      <w:r w:rsidR="00274D1A" w:rsidRPr="00274D1A">
        <w:rPr>
          <w:lang w:val="es-CL"/>
        </w:rPr>
        <w:t>ntran al raking instituciones no comerciales: Teletón</w:t>
      </w:r>
      <w:r w:rsidR="00274D1A">
        <w:rPr>
          <w:lang w:val="es-CL"/>
        </w:rPr>
        <w:t xml:space="preserve"> (12%)</w:t>
      </w:r>
      <w:r w:rsidR="00274D1A" w:rsidRPr="00274D1A">
        <w:rPr>
          <w:lang w:val="es-CL"/>
        </w:rPr>
        <w:t>, y empresas estatales: Banco Estado</w:t>
      </w:r>
      <w:r>
        <w:rPr>
          <w:lang w:val="es-CL"/>
        </w:rPr>
        <w:t xml:space="preserve"> (6%) y otras </w:t>
      </w:r>
      <w:r w:rsidR="00274D1A" w:rsidRPr="00274D1A">
        <w:rPr>
          <w:lang w:val="es-CL"/>
        </w:rPr>
        <w:t xml:space="preserve"> de servicio público como ACHS</w:t>
      </w:r>
      <w:r w:rsidR="00274D1A">
        <w:rPr>
          <w:lang w:val="es-CL"/>
        </w:rPr>
        <w:t xml:space="preserve"> (6%)</w:t>
      </w:r>
      <w:r>
        <w:rPr>
          <w:lang w:val="es-CL"/>
        </w:rPr>
        <w:t xml:space="preserve">. Después de éstas </w:t>
      </w:r>
      <w:r w:rsidR="00274D1A" w:rsidRPr="00274D1A">
        <w:rPr>
          <w:lang w:val="es-CL"/>
        </w:rPr>
        <w:t>se mantienen en el ranking sólo tres empresas chilenas: Laboratorio Chile</w:t>
      </w:r>
      <w:r w:rsidR="00274D1A">
        <w:rPr>
          <w:lang w:val="es-CL"/>
        </w:rPr>
        <w:t xml:space="preserve"> (4%)</w:t>
      </w:r>
      <w:r w:rsidR="00274D1A" w:rsidRPr="00274D1A">
        <w:rPr>
          <w:lang w:val="es-CL"/>
        </w:rPr>
        <w:t>,</w:t>
      </w:r>
      <w:r w:rsidR="00274D1A">
        <w:rPr>
          <w:lang w:val="es-CL"/>
        </w:rPr>
        <w:t xml:space="preserve"> </w:t>
      </w:r>
      <w:r w:rsidR="00274D1A" w:rsidRPr="00274D1A">
        <w:rPr>
          <w:lang w:val="es-CL"/>
        </w:rPr>
        <w:t xml:space="preserve"> Líder</w:t>
      </w:r>
      <w:r w:rsidR="009F5075">
        <w:rPr>
          <w:lang w:val="es-CL"/>
        </w:rPr>
        <w:t xml:space="preserve"> (3%)</w:t>
      </w:r>
      <w:r w:rsidR="00274D1A" w:rsidRPr="00274D1A">
        <w:rPr>
          <w:lang w:val="es-CL"/>
        </w:rPr>
        <w:t xml:space="preserve"> y Soprole</w:t>
      </w:r>
      <w:r w:rsidR="009F5075">
        <w:rPr>
          <w:lang w:val="es-CL"/>
        </w:rPr>
        <w:t xml:space="preserve"> (5%)</w:t>
      </w:r>
      <w:r w:rsidR="00274D1A" w:rsidRPr="00274D1A">
        <w:rPr>
          <w:lang w:val="es-CL"/>
        </w:rPr>
        <w:t xml:space="preserve"> y dos empresas multinacionales Coca Cola</w:t>
      </w:r>
      <w:r w:rsidR="009F5075">
        <w:rPr>
          <w:lang w:val="es-CL"/>
        </w:rPr>
        <w:t xml:space="preserve"> (5%) y Nestlé (3%)</w:t>
      </w:r>
      <w:r>
        <w:rPr>
          <w:lang w:val="es-CL"/>
        </w:rPr>
        <w:t>. Este cambio importante respecto de los años anteriores donde ninguna de las no comerciales o el Banco Estado habían obtenido esas posiciones, es producto de los abusos, colusiones, etc.</w:t>
      </w:r>
    </w:p>
    <w:p w14:paraId="7CF9D1E3" w14:textId="77777777" w:rsidR="009F5075" w:rsidRPr="00274D1A" w:rsidRDefault="009F5075" w:rsidP="00274D1A">
      <w:pPr>
        <w:pStyle w:val="MORI"/>
        <w:jc w:val="both"/>
        <w:rPr>
          <w:lang w:val="es-CL"/>
        </w:rPr>
      </w:pPr>
    </w:p>
    <w:p w14:paraId="16F5E77B" w14:textId="77777777" w:rsidR="006649FF" w:rsidRDefault="00274D1A" w:rsidP="00274D1A">
      <w:pPr>
        <w:pStyle w:val="MORI"/>
        <w:jc w:val="both"/>
        <w:rPr>
          <w:lang w:val="es-CL"/>
        </w:rPr>
      </w:pPr>
      <w:r w:rsidRPr="00274D1A">
        <w:rPr>
          <w:lang w:val="es-CL"/>
        </w:rPr>
        <w:t>Es la consecuencia de la suma de los escándalos de las industrias y la crisis de confianza que se vive en Chile.</w:t>
      </w:r>
    </w:p>
    <w:p w14:paraId="72BE1074" w14:textId="77777777" w:rsidR="009F5075" w:rsidRDefault="009F5075" w:rsidP="00274D1A">
      <w:pPr>
        <w:pStyle w:val="MORI"/>
        <w:jc w:val="both"/>
        <w:rPr>
          <w:lang w:val="es-CL"/>
        </w:rPr>
      </w:pPr>
    </w:p>
    <w:p w14:paraId="008A29E1" w14:textId="41FCD6F5" w:rsidR="009F5075" w:rsidRPr="00EF4373" w:rsidRDefault="007F54E8" w:rsidP="009F5075">
      <w:pPr>
        <w:pStyle w:val="MORI"/>
        <w:jc w:val="both"/>
        <w:rPr>
          <w:b/>
        </w:rPr>
      </w:pPr>
      <w:r>
        <w:rPr>
          <w:b/>
        </w:rPr>
        <w:t xml:space="preserve">Las Top </w:t>
      </w:r>
      <w:proofErr w:type="spellStart"/>
      <w:r>
        <w:rPr>
          <w:b/>
        </w:rPr>
        <w:t>Fi</w:t>
      </w:r>
      <w:r w:rsidR="009F5075">
        <w:rPr>
          <w:b/>
        </w:rPr>
        <w:t>ve</w:t>
      </w:r>
      <w:proofErr w:type="spellEnd"/>
      <w:r w:rsidR="009F5075">
        <w:rPr>
          <w:b/>
        </w:rPr>
        <w:t xml:space="preserve"> no responsables </w:t>
      </w:r>
    </w:p>
    <w:p w14:paraId="4F755A67" w14:textId="77777777" w:rsidR="009F5075" w:rsidRDefault="009F5075">
      <w:pPr>
        <w:rPr>
          <w:b/>
          <w:bCs/>
          <w:lang w:val="es-CL"/>
        </w:rPr>
      </w:pPr>
    </w:p>
    <w:p w14:paraId="641A0E10" w14:textId="77777777" w:rsid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  <w:r w:rsidRPr="009F5075">
        <w:rPr>
          <w:rFonts w:ascii="Times New Roman" w:hAnsi="Times New Roman" w:cs="Times New Roman"/>
          <w:bCs/>
          <w:lang w:val="es-CL"/>
        </w:rPr>
        <w:t>Mientras la lista de las empresas responsable se adelgaza, la lista de las no responsables engorda. En el 2015 aparecen 16 industrias/ compañías.</w:t>
      </w:r>
    </w:p>
    <w:p w14:paraId="569A6FA7" w14:textId="77777777" w:rsidR="009F5075" w:rsidRP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</w:p>
    <w:p w14:paraId="7DBA2C76" w14:textId="77777777" w:rsid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  <w:r w:rsidRPr="009F5075">
        <w:rPr>
          <w:rFonts w:ascii="Times New Roman" w:hAnsi="Times New Roman" w:cs="Times New Roman"/>
          <w:bCs/>
          <w:lang w:val="es-CL"/>
        </w:rPr>
        <w:lastRenderedPageBreak/>
        <w:t>En los 15 años que lleva este estudio nunca había habido una lista tan abultada de negativos sobre las industrias y las compañías.</w:t>
      </w:r>
    </w:p>
    <w:p w14:paraId="6A48A00E" w14:textId="77777777" w:rsidR="009F5075" w:rsidRP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</w:p>
    <w:p w14:paraId="7F311638" w14:textId="77777777" w:rsid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  <w:r w:rsidRPr="009F5075">
        <w:rPr>
          <w:rFonts w:ascii="Times New Roman" w:hAnsi="Times New Roman" w:cs="Times New Roman"/>
          <w:bCs/>
          <w:lang w:val="es-CL"/>
        </w:rPr>
        <w:t>Las farmacias lideran los negativos</w:t>
      </w:r>
      <w:r>
        <w:rPr>
          <w:rFonts w:ascii="Times New Roman" w:hAnsi="Times New Roman" w:cs="Times New Roman"/>
          <w:bCs/>
          <w:lang w:val="es-CL"/>
        </w:rPr>
        <w:t xml:space="preserve"> con un 19%  de menciones, </w:t>
      </w:r>
      <w:r w:rsidR="00BA48DC">
        <w:rPr>
          <w:rFonts w:ascii="Times New Roman" w:hAnsi="Times New Roman" w:cs="Times New Roman"/>
          <w:bCs/>
          <w:lang w:val="es-CL"/>
        </w:rPr>
        <w:t>un 15% menciona las multitiendas, e</w:t>
      </w:r>
      <w:r w:rsidR="00BA48DC" w:rsidRPr="009F5075">
        <w:rPr>
          <w:rFonts w:ascii="Times New Roman" w:hAnsi="Times New Roman" w:cs="Times New Roman"/>
          <w:bCs/>
          <w:lang w:val="es-CL"/>
        </w:rPr>
        <w:t>s el impacto de “La Polar”, que alcanza un 5%, y rebalsa negativos sobre la industria.</w:t>
      </w:r>
      <w:r w:rsidR="00BA48DC">
        <w:rPr>
          <w:rFonts w:ascii="Times New Roman" w:hAnsi="Times New Roman" w:cs="Times New Roman"/>
          <w:bCs/>
          <w:lang w:val="es-CL"/>
        </w:rPr>
        <w:t xml:space="preserve"> L</w:t>
      </w:r>
      <w:r>
        <w:rPr>
          <w:rFonts w:ascii="Times New Roman" w:hAnsi="Times New Roman" w:cs="Times New Roman"/>
          <w:bCs/>
          <w:lang w:val="es-CL"/>
        </w:rPr>
        <w:t xml:space="preserve">as empresas telefónicas  con un 13%  y los supermercados con un 10%. </w:t>
      </w:r>
    </w:p>
    <w:p w14:paraId="192E5A15" w14:textId="77777777" w:rsid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</w:p>
    <w:p w14:paraId="2242954C" w14:textId="77777777" w:rsid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  <w:r>
        <w:rPr>
          <w:rFonts w:ascii="Times New Roman" w:hAnsi="Times New Roman" w:cs="Times New Roman"/>
          <w:bCs/>
          <w:lang w:val="es-CL"/>
        </w:rPr>
        <w:t>S</w:t>
      </w:r>
      <w:r w:rsidRPr="009F5075">
        <w:rPr>
          <w:rFonts w:ascii="Times New Roman" w:hAnsi="Times New Roman" w:cs="Times New Roman"/>
          <w:bCs/>
          <w:lang w:val="es-CL"/>
        </w:rPr>
        <w:t xml:space="preserve">alen de la lista históricamente, Telefónica, Chilectra, Aguas Andina, empresas con nombre y apellido que reunían modestos 5% de menciones en años anteriores. Telefónica era la compañía que más había reunido al llegar a más del 10%. </w:t>
      </w:r>
    </w:p>
    <w:p w14:paraId="6F664AE4" w14:textId="77777777" w:rsidR="009F5075" w:rsidRP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</w:p>
    <w:p w14:paraId="4253F534" w14:textId="77777777" w:rsidR="009F5075" w:rsidRDefault="009F5075" w:rsidP="009F5075">
      <w:pPr>
        <w:jc w:val="both"/>
        <w:rPr>
          <w:rFonts w:ascii="Times New Roman" w:hAnsi="Times New Roman" w:cs="Times New Roman"/>
          <w:bCs/>
          <w:lang w:val="es-CL"/>
        </w:rPr>
      </w:pPr>
      <w:r w:rsidRPr="009F5075">
        <w:rPr>
          <w:rFonts w:ascii="Times New Roman" w:hAnsi="Times New Roman" w:cs="Times New Roman"/>
          <w:bCs/>
          <w:lang w:val="es-CL"/>
        </w:rPr>
        <w:t>Estamos claramente ante un cambio de manera de mirar las empresas y las industrias, con miradas que abarcan los rubros y no sólo algunas marcas. El efecto dominó sobre las industrias y sectores es fuerte.</w:t>
      </w:r>
    </w:p>
    <w:p w14:paraId="29F2A6C8" w14:textId="77777777" w:rsidR="006649FF" w:rsidRPr="00EF4373" w:rsidRDefault="006649FF" w:rsidP="00445605">
      <w:pPr>
        <w:pStyle w:val="MORI"/>
        <w:jc w:val="both"/>
      </w:pPr>
    </w:p>
    <w:p w14:paraId="486F7CE4" w14:textId="77777777" w:rsidR="007F54E8" w:rsidRDefault="007F54E8" w:rsidP="007F54E8">
      <w:pPr>
        <w:pStyle w:val="MORI"/>
        <w:jc w:val="both"/>
        <w:rPr>
          <w:b/>
        </w:rPr>
      </w:pPr>
      <w:r>
        <w:rPr>
          <w:b/>
        </w:rPr>
        <w:t xml:space="preserve">CONCLUSIÓN: Los consumidores y los abusos </w:t>
      </w:r>
    </w:p>
    <w:p w14:paraId="75869E30" w14:textId="77777777" w:rsidR="007F54E8" w:rsidRDefault="007F54E8" w:rsidP="003B33CC">
      <w:pPr>
        <w:pStyle w:val="MORI"/>
        <w:jc w:val="both"/>
        <w:rPr>
          <w:b/>
        </w:rPr>
      </w:pPr>
    </w:p>
    <w:p w14:paraId="63D299AD" w14:textId="77777777" w:rsidR="003B33CC" w:rsidRDefault="003B33CC" w:rsidP="003B33CC">
      <w:pPr>
        <w:pStyle w:val="MORI"/>
        <w:jc w:val="both"/>
        <w:rPr>
          <w:b/>
        </w:rPr>
      </w:pPr>
      <w:r w:rsidRPr="00274D1A">
        <w:rPr>
          <w:b/>
        </w:rPr>
        <w:t xml:space="preserve">La opinión de los chilenos respecto de la Responsabilidad Social de las Empresas </w:t>
      </w:r>
    </w:p>
    <w:p w14:paraId="215E73AA" w14:textId="77777777" w:rsidR="003B33CC" w:rsidRPr="00274D1A" w:rsidRDefault="003B33CC" w:rsidP="003B33CC">
      <w:pPr>
        <w:pStyle w:val="MORI"/>
        <w:jc w:val="both"/>
        <w:rPr>
          <w:b/>
        </w:rPr>
      </w:pPr>
    </w:p>
    <w:p w14:paraId="3F88173A" w14:textId="77777777" w:rsidR="003B33CC" w:rsidRDefault="003B33CC" w:rsidP="003B33CC">
      <w:pPr>
        <w:pStyle w:val="MORI"/>
        <w:jc w:val="both"/>
      </w:pPr>
      <w:r w:rsidRPr="00274D1A">
        <w:t>Los consumidores chilenos han cambiado su opinión respecto de la Responsabilidad  Social Corporativa.</w:t>
      </w:r>
      <w:r>
        <w:t xml:space="preserve"> </w:t>
      </w:r>
      <w:r w:rsidRPr="00274D1A">
        <w:t>Los datos 2015 del MONITOR DE RESPONSABILDAD SOCIAL MORI 2015, muestran  como los chilenos reaccionan frente a los abusos de las compañías.</w:t>
      </w:r>
    </w:p>
    <w:p w14:paraId="62EFD712" w14:textId="77777777" w:rsidR="003B33CC" w:rsidRPr="00274D1A" w:rsidRDefault="003B33CC" w:rsidP="003B33CC">
      <w:pPr>
        <w:pStyle w:val="MORI"/>
        <w:jc w:val="both"/>
      </w:pPr>
    </w:p>
    <w:p w14:paraId="261AC6ED" w14:textId="77777777" w:rsidR="003B33CC" w:rsidRDefault="003B33CC" w:rsidP="003B33CC">
      <w:pPr>
        <w:pStyle w:val="MORI"/>
        <w:jc w:val="both"/>
      </w:pPr>
      <w:r w:rsidRPr="00274D1A">
        <w:t>Estos datos muestran que el castigo no es a la marca que comete el error, sino a todas las marcas.</w:t>
      </w:r>
      <w:r>
        <w:t xml:space="preserve">  </w:t>
      </w:r>
      <w:r w:rsidRPr="00274D1A">
        <w:t>(Estos datos no recogen el impacto de la colusión del pape confort ni el impacto de la huelga del Registro Civil)</w:t>
      </w:r>
    </w:p>
    <w:p w14:paraId="3F12862B" w14:textId="77777777" w:rsidR="00EF4373" w:rsidRDefault="00EF4373" w:rsidP="00445605">
      <w:pPr>
        <w:pStyle w:val="MORI"/>
        <w:jc w:val="both"/>
        <w:rPr>
          <w:b/>
        </w:rPr>
      </w:pPr>
    </w:p>
    <w:p w14:paraId="44B1F317" w14:textId="77777777" w:rsidR="00BA48DC" w:rsidRDefault="00BA48DC" w:rsidP="00BA48DC">
      <w:pPr>
        <w:pStyle w:val="MORI"/>
        <w:jc w:val="both"/>
        <w:rPr>
          <w:bCs/>
          <w:lang w:val="es-CL"/>
        </w:rPr>
      </w:pPr>
      <w:r w:rsidRPr="00BA48DC">
        <w:rPr>
          <w:bCs/>
          <w:lang w:val="es-CL"/>
        </w:rPr>
        <w:t>Los consumidores no se comportan muy distinto que los ciudadanos cuando se sienten abusados.</w:t>
      </w:r>
    </w:p>
    <w:p w14:paraId="79C7A087" w14:textId="77777777" w:rsidR="00BA48DC" w:rsidRPr="00BA48DC" w:rsidRDefault="00BA48DC" w:rsidP="00BA48DC">
      <w:pPr>
        <w:pStyle w:val="MORI"/>
        <w:jc w:val="both"/>
        <w:rPr>
          <w:bCs/>
          <w:lang w:val="es-CL"/>
        </w:rPr>
      </w:pPr>
    </w:p>
    <w:p w14:paraId="7A665FD0" w14:textId="78170E91" w:rsidR="00BA48DC" w:rsidRDefault="00BA48DC" w:rsidP="00BA48DC">
      <w:pPr>
        <w:pStyle w:val="MORI"/>
        <w:jc w:val="both"/>
        <w:rPr>
          <w:bCs/>
          <w:lang w:val="es-CL"/>
        </w:rPr>
      </w:pPr>
      <w:r w:rsidRPr="00BA48DC">
        <w:rPr>
          <w:bCs/>
          <w:lang w:val="es-CL"/>
        </w:rPr>
        <w:t xml:space="preserve">Cuando la cultura del reclamo no está bien instalada como en Chile, la masa de los consumidores no declara que va a castigar, no deja de comprar, porque como </w:t>
      </w:r>
      <w:r>
        <w:rPr>
          <w:bCs/>
          <w:lang w:val="es-CL"/>
        </w:rPr>
        <w:t>dijo</w:t>
      </w:r>
      <w:r w:rsidRPr="00BA48DC">
        <w:rPr>
          <w:bCs/>
          <w:lang w:val="es-CL"/>
        </w:rPr>
        <w:t xml:space="preserve"> una </w:t>
      </w:r>
      <w:r>
        <w:rPr>
          <w:bCs/>
          <w:lang w:val="es-CL"/>
        </w:rPr>
        <w:t>señora</w:t>
      </w:r>
      <w:r w:rsidRPr="00BA48DC">
        <w:rPr>
          <w:bCs/>
          <w:lang w:val="es-CL"/>
        </w:rPr>
        <w:t xml:space="preserve"> en un Focus Group. “</w:t>
      </w:r>
      <w:r>
        <w:rPr>
          <w:bCs/>
          <w:lang w:val="es-CL"/>
        </w:rPr>
        <w:t>Dó</w:t>
      </w:r>
      <w:r w:rsidRPr="00BA48DC">
        <w:rPr>
          <w:bCs/>
          <w:lang w:val="es-CL"/>
        </w:rPr>
        <w:t xml:space="preserve">nde </w:t>
      </w:r>
      <w:r>
        <w:rPr>
          <w:bCs/>
          <w:lang w:val="es-CL"/>
        </w:rPr>
        <w:t>puedo comprar un pollo que no esté coludido?</w:t>
      </w:r>
      <w:r w:rsidRPr="00BA48DC">
        <w:rPr>
          <w:bCs/>
          <w:lang w:val="es-CL"/>
        </w:rPr>
        <w:t>” En el caso del Papel Confort pasa lo mismo.</w:t>
      </w:r>
      <w:r w:rsidR="007F54E8">
        <w:rPr>
          <w:bCs/>
          <w:lang w:val="es-CL"/>
        </w:rPr>
        <w:t xml:space="preserve"> Pero si se cambia de proveedor cuando puede y racionaliza su compra. </w:t>
      </w:r>
    </w:p>
    <w:p w14:paraId="23953812" w14:textId="77777777" w:rsidR="00BA48DC" w:rsidRPr="00BA48DC" w:rsidRDefault="00BA48DC" w:rsidP="00BA48DC">
      <w:pPr>
        <w:pStyle w:val="MORI"/>
        <w:jc w:val="both"/>
        <w:rPr>
          <w:bCs/>
          <w:lang w:val="es-CL"/>
        </w:rPr>
      </w:pPr>
    </w:p>
    <w:p w14:paraId="2E94E188" w14:textId="2796C56A" w:rsidR="00BA48DC" w:rsidRPr="00BA48DC" w:rsidRDefault="00BA48DC" w:rsidP="00BA48DC">
      <w:pPr>
        <w:pStyle w:val="MORI"/>
        <w:jc w:val="both"/>
        <w:rPr>
          <w:bCs/>
          <w:lang w:val="es-CL"/>
        </w:rPr>
      </w:pPr>
      <w:r w:rsidRPr="00BA48DC">
        <w:rPr>
          <w:bCs/>
          <w:lang w:val="es-CL"/>
        </w:rPr>
        <w:t xml:space="preserve">Mientras los ciudadanos dejan de votar, los consumidores cada vez que pueden cambian de producto, y castigan las marcas, cuando hay alternativas. </w:t>
      </w:r>
    </w:p>
    <w:p w14:paraId="5E204D58" w14:textId="77777777" w:rsidR="007F54E8" w:rsidRDefault="007F54E8" w:rsidP="00BA48DC">
      <w:pPr>
        <w:pStyle w:val="MORI"/>
        <w:jc w:val="both"/>
        <w:rPr>
          <w:bCs/>
          <w:lang w:val="es-CL"/>
        </w:rPr>
      </w:pPr>
    </w:p>
    <w:p w14:paraId="209CF3D4" w14:textId="77777777" w:rsidR="006649FF" w:rsidRDefault="00BA48DC" w:rsidP="00BA48DC">
      <w:pPr>
        <w:pStyle w:val="MORI"/>
        <w:jc w:val="both"/>
        <w:rPr>
          <w:bCs/>
          <w:lang w:val="es-CL"/>
        </w:rPr>
      </w:pPr>
      <w:r w:rsidRPr="00BA48DC">
        <w:rPr>
          <w:bCs/>
          <w:lang w:val="es-CL"/>
        </w:rPr>
        <w:t>El costo para la credibilidad de las marcas de estos abusos será tan duro como lo es para el sistema político recuperar la confianza.</w:t>
      </w:r>
    </w:p>
    <w:p w14:paraId="08B2FCC2" w14:textId="77777777" w:rsidR="007F54E8" w:rsidRDefault="007F54E8" w:rsidP="00BA48DC">
      <w:pPr>
        <w:pStyle w:val="MORI"/>
        <w:jc w:val="both"/>
        <w:rPr>
          <w:bCs/>
          <w:lang w:val="es-CL"/>
        </w:rPr>
      </w:pPr>
    </w:p>
    <w:p w14:paraId="2772435C" w14:textId="77777777" w:rsidR="007F54E8" w:rsidRDefault="007F54E8" w:rsidP="007F54E8">
      <w:pPr>
        <w:pStyle w:val="MORI"/>
        <w:jc w:val="both"/>
        <w:rPr>
          <w:bCs/>
          <w:lang w:val="es-CL"/>
        </w:rPr>
      </w:pPr>
      <w:r>
        <w:rPr>
          <w:bCs/>
          <w:lang w:val="es-CL"/>
        </w:rPr>
        <w:t>Lamentablemente la</w:t>
      </w:r>
      <w:r w:rsidRPr="00BA48DC">
        <w:rPr>
          <w:bCs/>
          <w:lang w:val="es-CL"/>
        </w:rPr>
        <w:t xml:space="preserve"> inversión en responsabilidad social de la última década está perdida, habrá que empezar de cero y volver a conquistar la lealtad.</w:t>
      </w:r>
    </w:p>
    <w:p w14:paraId="55974656" w14:textId="77777777" w:rsidR="007F54E8" w:rsidRPr="00BA48DC" w:rsidRDefault="007F54E8" w:rsidP="00BA48DC">
      <w:pPr>
        <w:pStyle w:val="MORI"/>
        <w:jc w:val="both"/>
      </w:pPr>
    </w:p>
    <w:sectPr w:rsidR="007F54E8" w:rsidRPr="00BA48DC" w:rsidSect="004A0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4DBC"/>
    <w:multiLevelType w:val="hybridMultilevel"/>
    <w:tmpl w:val="B2FE4004"/>
    <w:lvl w:ilvl="0" w:tplc="48345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8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C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40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49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23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CA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C6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F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271"/>
    <w:multiLevelType w:val="hybridMultilevel"/>
    <w:tmpl w:val="05CA93B0"/>
    <w:lvl w:ilvl="0" w:tplc="65C0F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F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2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46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4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A4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E9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08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6E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C2B"/>
    <w:multiLevelType w:val="hybridMultilevel"/>
    <w:tmpl w:val="5CAA600C"/>
    <w:lvl w:ilvl="0" w:tplc="2FCCE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CD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C2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0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B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8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C2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C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C8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082"/>
    <w:multiLevelType w:val="hybridMultilevel"/>
    <w:tmpl w:val="7F686162"/>
    <w:lvl w:ilvl="0" w:tplc="71FE8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6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5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C0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AD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2E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26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A9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6A81"/>
    <w:multiLevelType w:val="hybridMultilevel"/>
    <w:tmpl w:val="3034B6B4"/>
    <w:lvl w:ilvl="0" w:tplc="B43E3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0B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0B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8A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A7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AA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0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18"/>
    <w:multiLevelType w:val="hybridMultilevel"/>
    <w:tmpl w:val="FC7A82CA"/>
    <w:lvl w:ilvl="0" w:tplc="0F9414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8EA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ACE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8F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496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EDF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AF9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235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23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192E"/>
    <w:multiLevelType w:val="hybridMultilevel"/>
    <w:tmpl w:val="58169D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FF"/>
    <w:rsid w:val="00274D1A"/>
    <w:rsid w:val="002A5EFE"/>
    <w:rsid w:val="003B33CC"/>
    <w:rsid w:val="00445605"/>
    <w:rsid w:val="00470612"/>
    <w:rsid w:val="0048701C"/>
    <w:rsid w:val="004A032D"/>
    <w:rsid w:val="0051550A"/>
    <w:rsid w:val="00594864"/>
    <w:rsid w:val="006649FF"/>
    <w:rsid w:val="007C2AAF"/>
    <w:rsid w:val="007F54E8"/>
    <w:rsid w:val="00884B5C"/>
    <w:rsid w:val="00895B49"/>
    <w:rsid w:val="009F5075"/>
    <w:rsid w:val="00A9798A"/>
    <w:rsid w:val="00B37125"/>
    <w:rsid w:val="00BA48DC"/>
    <w:rsid w:val="00CE6FCF"/>
    <w:rsid w:val="00CF1D05"/>
    <w:rsid w:val="00DA23D9"/>
    <w:rsid w:val="00E336B0"/>
    <w:rsid w:val="00E83C58"/>
    <w:rsid w:val="00EF4373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091CA"/>
  <w14:defaultImageDpi w14:val="300"/>
  <w15:docId w15:val="{57BDA61D-0FC9-4DCC-A132-920652B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RI">
    <w:name w:val="MORI"/>
    <w:basedOn w:val="Normal"/>
    <w:autoRedefine/>
    <w:qFormat/>
    <w:rsid w:val="00E336B0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1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2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8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7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1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51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0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55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1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93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8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1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3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5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6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3566</Characters>
  <Application>Microsoft Office Word</Application>
  <DocSecurity>0</DocSecurity>
  <Lines>115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Lagos</dc:creator>
  <cp:keywords/>
  <dc:description/>
  <cp:lastModifiedBy>Cristina Flores</cp:lastModifiedBy>
  <cp:revision>2</cp:revision>
  <cp:lastPrinted>2015-11-04T22:19:00Z</cp:lastPrinted>
  <dcterms:created xsi:type="dcterms:W3CDTF">2015-11-05T12:38:00Z</dcterms:created>
  <dcterms:modified xsi:type="dcterms:W3CDTF">2015-11-05T12:38:00Z</dcterms:modified>
</cp:coreProperties>
</file>