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7D44" w14:textId="77777777" w:rsidR="006649FF" w:rsidRPr="006649FF" w:rsidRDefault="006649FF" w:rsidP="006649FF">
      <w:pPr>
        <w:pStyle w:val="MORI"/>
        <w:jc w:val="center"/>
        <w:rPr>
          <w:b/>
          <w:sz w:val="32"/>
          <w:szCs w:val="32"/>
          <w:lang w:val="es-CL"/>
        </w:rPr>
      </w:pPr>
      <w:r w:rsidRPr="006649FF">
        <w:rPr>
          <w:b/>
          <w:bCs/>
          <w:sz w:val="32"/>
          <w:szCs w:val="32"/>
          <w:lang w:val="es-CL"/>
        </w:rPr>
        <w:t>COMUNICADO DE PRENSA</w:t>
      </w:r>
      <w:r w:rsidRPr="006649FF">
        <w:rPr>
          <w:b/>
          <w:sz w:val="32"/>
          <w:szCs w:val="32"/>
          <w:lang w:val="es-CL"/>
        </w:rPr>
        <w:t xml:space="preserve"> </w:t>
      </w:r>
    </w:p>
    <w:p w14:paraId="681C6E12" w14:textId="77777777" w:rsidR="006649FF" w:rsidRDefault="006649FF" w:rsidP="006649FF">
      <w:pPr>
        <w:pStyle w:val="MORI"/>
        <w:jc w:val="center"/>
        <w:rPr>
          <w:b/>
          <w:lang w:val="es-CL"/>
        </w:rPr>
      </w:pPr>
    </w:p>
    <w:p w14:paraId="25B7969C" w14:textId="77777777" w:rsidR="006649FF" w:rsidRPr="006649FF" w:rsidRDefault="006649FF" w:rsidP="006649FF">
      <w:pPr>
        <w:pStyle w:val="MORI"/>
        <w:jc w:val="center"/>
        <w:rPr>
          <w:b/>
          <w:lang w:val="es-CL"/>
        </w:rPr>
      </w:pPr>
      <w:r w:rsidRPr="006649FF">
        <w:rPr>
          <w:b/>
          <w:lang w:val="es-CL"/>
        </w:rPr>
        <w:t>BARÓMETRO DE LA POLÍTICA CERC MORI</w:t>
      </w:r>
    </w:p>
    <w:p w14:paraId="0F19B1FF" w14:textId="77777777" w:rsidR="006649FF" w:rsidRPr="006649FF" w:rsidRDefault="006649FF" w:rsidP="006649FF">
      <w:pPr>
        <w:pStyle w:val="MORI"/>
        <w:jc w:val="center"/>
        <w:rPr>
          <w:b/>
          <w:bCs/>
          <w:lang w:val="es-CL"/>
        </w:rPr>
      </w:pPr>
      <w:r w:rsidRPr="006649FF">
        <w:rPr>
          <w:b/>
          <w:bCs/>
          <w:lang w:val="es-CL"/>
        </w:rPr>
        <w:t>JULIO 2015</w:t>
      </w:r>
    </w:p>
    <w:p w14:paraId="67CE3683" w14:textId="77777777" w:rsidR="006649FF" w:rsidRPr="006649FF" w:rsidRDefault="006649FF" w:rsidP="006649FF">
      <w:pPr>
        <w:pStyle w:val="MORI"/>
        <w:jc w:val="center"/>
        <w:rPr>
          <w:b/>
          <w:bCs/>
          <w:lang w:val="es-CL"/>
        </w:rPr>
      </w:pPr>
      <w:r w:rsidRPr="006649FF">
        <w:rPr>
          <w:b/>
          <w:bCs/>
          <w:lang w:val="es-CL"/>
        </w:rPr>
        <w:t>LA IMAGEN DEL PINOCHETISMO</w:t>
      </w:r>
    </w:p>
    <w:p w14:paraId="6D0E263D" w14:textId="77777777" w:rsidR="006649FF" w:rsidRPr="006649FF" w:rsidRDefault="006649FF" w:rsidP="006649FF">
      <w:pPr>
        <w:pStyle w:val="MORI"/>
        <w:jc w:val="center"/>
        <w:rPr>
          <w:b/>
          <w:bCs/>
          <w:lang w:val="es-CL"/>
        </w:rPr>
      </w:pPr>
    </w:p>
    <w:p w14:paraId="52DDEC84" w14:textId="77777777" w:rsidR="006649FF" w:rsidRPr="006649FF" w:rsidRDefault="006649FF" w:rsidP="006649FF">
      <w:pPr>
        <w:pStyle w:val="MORI"/>
        <w:jc w:val="center"/>
        <w:rPr>
          <w:b/>
          <w:lang w:val="en-US"/>
        </w:rPr>
      </w:pPr>
    </w:p>
    <w:p w14:paraId="26C7759F" w14:textId="77777777" w:rsidR="00E83C58" w:rsidRPr="00445605" w:rsidRDefault="00E83C58" w:rsidP="00445605">
      <w:pPr>
        <w:pStyle w:val="MORI"/>
        <w:jc w:val="both"/>
      </w:pPr>
      <w:r w:rsidRPr="006649FF">
        <w:rPr>
          <w:b/>
          <w:bCs/>
          <w:lang w:val="es-CL"/>
        </w:rPr>
        <w:t>A 42 años del golpe de estado y 25 años del término de la dictadura del general Pinochet subsisten las huellas de esa etapa de nuestra historia.</w:t>
      </w:r>
    </w:p>
    <w:p w14:paraId="4CF81D4B" w14:textId="77777777" w:rsidR="00EF4373" w:rsidRDefault="00EF4373" w:rsidP="00445605">
      <w:pPr>
        <w:pStyle w:val="MORI"/>
        <w:jc w:val="both"/>
        <w:rPr>
          <w:b/>
          <w:bCs/>
          <w:lang w:val="es-CL"/>
        </w:rPr>
      </w:pPr>
    </w:p>
    <w:p w14:paraId="6588997D" w14:textId="77777777" w:rsidR="00E83C58" w:rsidRPr="00445605" w:rsidRDefault="00E83C58" w:rsidP="00445605">
      <w:pPr>
        <w:pStyle w:val="MORI"/>
        <w:jc w:val="both"/>
      </w:pPr>
      <w:r w:rsidRPr="006649FF">
        <w:rPr>
          <w:b/>
          <w:bCs/>
          <w:lang w:val="es-CL"/>
        </w:rPr>
        <w:t xml:space="preserve">Esta ha sido actualizada por la confesión de un conscripto que integraba la patrulla del Ejército, dirigida por un oficial que roció con parafina y prendió fuego a dos jóvenes que protestaban pacìficamente el 2 de Julio de 1986, a consecuencia de lo cual falleció Rodrigo Rojas de Negri y quedó con graves quemaduras Carmen Gloria Quintana. </w:t>
      </w:r>
    </w:p>
    <w:p w14:paraId="4475490B" w14:textId="77777777" w:rsidR="00EF4373" w:rsidRDefault="00EF4373" w:rsidP="00445605">
      <w:pPr>
        <w:pStyle w:val="MORI"/>
        <w:jc w:val="both"/>
        <w:rPr>
          <w:b/>
          <w:bCs/>
          <w:lang w:val="es-CL"/>
        </w:rPr>
      </w:pPr>
    </w:p>
    <w:p w14:paraId="628015C4" w14:textId="1EEBDD9D" w:rsidR="00E83C58" w:rsidRPr="00445605" w:rsidRDefault="00E83C58" w:rsidP="00445605">
      <w:pPr>
        <w:pStyle w:val="MORI"/>
        <w:jc w:val="both"/>
      </w:pPr>
      <w:r w:rsidRPr="006649FF">
        <w:rPr>
          <w:b/>
          <w:bCs/>
          <w:lang w:val="es-CL"/>
        </w:rPr>
        <w:t>CERC es la única institución que ha monitoreado las actitudes y opiniones de los chilenos sobre la dictadura y el general Pinochet, entre 1987 y 2013 en el Barómetro CERC. Este monitoreo conti</w:t>
      </w:r>
      <w:r w:rsidR="00FD22AF">
        <w:rPr>
          <w:b/>
          <w:bCs/>
          <w:lang w:val="es-CL"/>
        </w:rPr>
        <w:t>n</w:t>
      </w:r>
      <w:r w:rsidRPr="006649FF">
        <w:rPr>
          <w:b/>
          <w:bCs/>
          <w:lang w:val="es-CL"/>
        </w:rPr>
        <w:t>úa con e</w:t>
      </w:r>
      <w:r w:rsidR="00FD22AF">
        <w:rPr>
          <w:b/>
          <w:bCs/>
          <w:lang w:val="es-CL"/>
        </w:rPr>
        <w:t>l Barómetro de la Política CERC-</w:t>
      </w:r>
      <w:r w:rsidRPr="006649FF">
        <w:rPr>
          <w:b/>
          <w:bCs/>
          <w:lang w:val="es-CL"/>
        </w:rPr>
        <w:t xml:space="preserve">MORI a partir de 2014. </w:t>
      </w:r>
    </w:p>
    <w:p w14:paraId="66CFFA2F" w14:textId="77777777" w:rsidR="00EF4373" w:rsidRDefault="00EF4373" w:rsidP="00445605">
      <w:pPr>
        <w:pStyle w:val="MORI"/>
        <w:jc w:val="both"/>
        <w:rPr>
          <w:b/>
          <w:bCs/>
          <w:lang w:val="es-CL"/>
        </w:rPr>
      </w:pPr>
    </w:p>
    <w:p w14:paraId="53BDD230" w14:textId="77777777" w:rsidR="00E83C58" w:rsidRPr="00445605" w:rsidRDefault="00E83C58" w:rsidP="00445605">
      <w:pPr>
        <w:pStyle w:val="MORI"/>
        <w:jc w:val="both"/>
      </w:pPr>
      <w:r w:rsidRPr="006649FF">
        <w:rPr>
          <w:b/>
          <w:bCs/>
          <w:lang w:val="es-CL"/>
        </w:rPr>
        <w:t>Aquí se presenta una recopilación actualizada a Julio de 2015 del peso del Pinochetismo en Chile, a la luz de la discusión surgida por la violación de los derechos humanos de Rodrigo Rojas y Carmen Gloria Quintana.</w:t>
      </w:r>
    </w:p>
    <w:p w14:paraId="3435519B" w14:textId="77777777" w:rsidR="0048701C" w:rsidRDefault="0048701C" w:rsidP="00445605">
      <w:pPr>
        <w:pStyle w:val="MORI"/>
        <w:jc w:val="both"/>
      </w:pPr>
    </w:p>
    <w:p w14:paraId="7C887CCC" w14:textId="77777777" w:rsidR="006649FF" w:rsidRPr="00EF4373" w:rsidRDefault="00EF4373" w:rsidP="00445605">
      <w:pPr>
        <w:pStyle w:val="MORI"/>
        <w:jc w:val="both"/>
        <w:rPr>
          <w:b/>
        </w:rPr>
      </w:pPr>
      <w:r w:rsidRPr="00EF4373">
        <w:rPr>
          <w:b/>
        </w:rPr>
        <w:t>La Imagen de Pinochet</w:t>
      </w:r>
    </w:p>
    <w:p w14:paraId="1B28A7FB" w14:textId="77777777" w:rsidR="006649FF" w:rsidRDefault="006649FF" w:rsidP="00445605">
      <w:pPr>
        <w:pStyle w:val="MORI"/>
        <w:jc w:val="both"/>
      </w:pPr>
    </w:p>
    <w:p w14:paraId="01C1040E" w14:textId="77777777" w:rsidR="00E83C58" w:rsidRDefault="00E83C58" w:rsidP="00445605">
      <w:pPr>
        <w:pStyle w:val="MORI"/>
        <w:jc w:val="both"/>
        <w:rPr>
          <w:lang w:val="es-CL"/>
        </w:rPr>
      </w:pPr>
      <w:r w:rsidRPr="006649FF">
        <w:rPr>
          <w:lang w:val="es-CL"/>
        </w:rPr>
        <w:t xml:space="preserve">La buena imagen de Pinochet como “uno de los mejores gobernantes que ha tenido Chile” disminuye de 26% a 15% entre 1996 y 2015. </w:t>
      </w:r>
    </w:p>
    <w:p w14:paraId="64C54594" w14:textId="77777777" w:rsidR="00EF4373" w:rsidRPr="00445605" w:rsidRDefault="00EF4373" w:rsidP="00445605">
      <w:pPr>
        <w:pStyle w:val="MORI"/>
        <w:jc w:val="both"/>
      </w:pPr>
    </w:p>
    <w:p w14:paraId="7F0B3D51" w14:textId="4086C211" w:rsidR="00E83C58" w:rsidRDefault="00E83C58" w:rsidP="00445605">
      <w:pPr>
        <w:pStyle w:val="MORI"/>
        <w:jc w:val="both"/>
        <w:rPr>
          <w:lang w:val="es-CL"/>
        </w:rPr>
      </w:pPr>
      <w:r w:rsidRPr="006649FF">
        <w:rPr>
          <w:lang w:val="es-CL"/>
        </w:rPr>
        <w:t xml:space="preserve">La mala imagen de Pinochet como un “dictador” aumenta  lentamente de 63% a 76% en dos décadas entre 1996 y 2015, con altos y bajos ya que disminuye cinco puntos porcentuales respecto de 2011 (81%). </w:t>
      </w:r>
    </w:p>
    <w:p w14:paraId="6D3C5B9C" w14:textId="77777777" w:rsidR="00EF4373" w:rsidRPr="00445605" w:rsidRDefault="00EF4373" w:rsidP="00445605">
      <w:pPr>
        <w:pStyle w:val="MORI"/>
        <w:jc w:val="both"/>
      </w:pPr>
    </w:p>
    <w:p w14:paraId="3F93745F" w14:textId="77777777" w:rsidR="00E83C58" w:rsidRDefault="00E83C58" w:rsidP="00445605">
      <w:pPr>
        <w:pStyle w:val="MORI"/>
        <w:jc w:val="both"/>
        <w:rPr>
          <w:lang w:val="es-CL"/>
        </w:rPr>
      </w:pPr>
      <w:r w:rsidRPr="006649FF">
        <w:rPr>
          <w:lang w:val="es-CL"/>
        </w:rPr>
        <w:t>La mejor imagen de Pinochet la tienen los que tienen más educación y los que tienen más de 60 años.</w:t>
      </w:r>
      <w:r w:rsidR="00EF4373" w:rsidRPr="00445605">
        <w:t xml:space="preserve"> </w:t>
      </w:r>
      <w:r w:rsidRPr="006649FF">
        <w:rPr>
          <w:lang w:val="es-CL"/>
        </w:rPr>
        <w:t>A ese ritmo faltarían más de 20 años para que se extinga completamente la imagen positiva del dictador.</w:t>
      </w:r>
    </w:p>
    <w:p w14:paraId="16E42E5D" w14:textId="77777777" w:rsidR="00EF4373" w:rsidRPr="00445605" w:rsidRDefault="00EF4373" w:rsidP="00445605">
      <w:pPr>
        <w:pStyle w:val="MORI"/>
        <w:jc w:val="both"/>
      </w:pPr>
    </w:p>
    <w:p w14:paraId="4AD3750F" w14:textId="52946692" w:rsidR="00E83C58" w:rsidRPr="00445605" w:rsidRDefault="00E83C58" w:rsidP="00445605">
      <w:pPr>
        <w:pStyle w:val="MORI"/>
        <w:jc w:val="both"/>
      </w:pPr>
      <w:r w:rsidRPr="006649FF">
        <w:rPr>
          <w:lang w:val="es-CL"/>
        </w:rPr>
        <w:t xml:space="preserve">En España, según datos del Centro de Investigaciones Sociológicas (CIS) </w:t>
      </w:r>
      <w:r w:rsidR="00445605">
        <w:rPr>
          <w:lang w:val="es-CL"/>
        </w:rPr>
        <w:t>sólo el 6% de los españoles tení</w:t>
      </w:r>
      <w:r w:rsidRPr="006649FF">
        <w:rPr>
          <w:lang w:val="es-CL"/>
        </w:rPr>
        <w:t>an</w:t>
      </w:r>
      <w:r w:rsidR="00445605">
        <w:rPr>
          <w:lang w:val="es-CL"/>
        </w:rPr>
        <w:t xml:space="preserve"> opinió</w:t>
      </w:r>
      <w:r w:rsidRPr="006649FF">
        <w:rPr>
          <w:lang w:val="es-CL"/>
        </w:rPr>
        <w:t>n positiva del dictador momento de su muerte, y ese porcentaje desapareció antes que se cumpliera una década de su fallecimiento.</w:t>
      </w:r>
    </w:p>
    <w:p w14:paraId="2D3EA109" w14:textId="77777777" w:rsidR="006649FF" w:rsidRDefault="006649FF" w:rsidP="00445605">
      <w:pPr>
        <w:pStyle w:val="MORI"/>
        <w:jc w:val="both"/>
      </w:pPr>
    </w:p>
    <w:p w14:paraId="204B199E" w14:textId="77777777" w:rsidR="00445605" w:rsidRDefault="00445605">
      <w:pPr>
        <w:rPr>
          <w:rFonts w:ascii="Times New Roman" w:hAnsi="Times New Roman"/>
          <w:b/>
          <w:bCs/>
          <w:lang w:val="es-CL"/>
        </w:rPr>
      </w:pPr>
      <w:r>
        <w:rPr>
          <w:b/>
          <w:bCs/>
          <w:lang w:val="es-CL"/>
        </w:rPr>
        <w:br w:type="page"/>
      </w:r>
    </w:p>
    <w:p w14:paraId="56B48EEA" w14:textId="222FD6AB" w:rsidR="00EF4373" w:rsidRDefault="00EF4373" w:rsidP="00445605">
      <w:pPr>
        <w:pStyle w:val="MORI"/>
        <w:jc w:val="both"/>
        <w:rPr>
          <w:b/>
          <w:bCs/>
          <w:lang w:val="es-CL"/>
        </w:rPr>
      </w:pPr>
      <w:r>
        <w:rPr>
          <w:b/>
          <w:bCs/>
          <w:lang w:val="es-CL"/>
        </w:rPr>
        <w:lastRenderedPageBreak/>
        <w:t>La Justificación del Golpe de Estado</w:t>
      </w:r>
    </w:p>
    <w:p w14:paraId="67DB8D22" w14:textId="77777777" w:rsidR="00EF4373" w:rsidRDefault="00EF4373" w:rsidP="00445605">
      <w:pPr>
        <w:pStyle w:val="MORI"/>
        <w:jc w:val="both"/>
        <w:rPr>
          <w:b/>
          <w:bCs/>
          <w:lang w:val="es-CL"/>
        </w:rPr>
      </w:pPr>
    </w:p>
    <w:p w14:paraId="6CC2414B" w14:textId="77777777" w:rsidR="00E83C58" w:rsidRPr="00445605" w:rsidRDefault="00E83C58" w:rsidP="00445605">
      <w:pPr>
        <w:pStyle w:val="MORI"/>
        <w:jc w:val="both"/>
      </w:pPr>
      <w:r w:rsidRPr="00EF4373">
        <w:rPr>
          <w:bCs/>
          <w:lang w:val="es-CL"/>
        </w:rPr>
        <w:t>Un 68% de chilenos cree que el golpe de Estado nunca es justificable, mientras un 21% (cinco puntos porcentuales más que en 2013) cree que  los militares tenían razón al dar el golpe. En total desde 2003, cuando partió la medición, ha bajado de 36% a 21% esa opinión sobre el golpe de Estado.</w:t>
      </w:r>
    </w:p>
    <w:p w14:paraId="734FC252" w14:textId="77777777" w:rsidR="00EF4373" w:rsidRDefault="00EF4373" w:rsidP="00445605">
      <w:pPr>
        <w:pStyle w:val="MORI"/>
        <w:jc w:val="both"/>
        <w:rPr>
          <w:bCs/>
          <w:lang w:val="es-CL"/>
        </w:rPr>
      </w:pPr>
    </w:p>
    <w:p w14:paraId="5A0CA751" w14:textId="3B0FFBF3" w:rsidR="00E83C58" w:rsidRPr="00445605" w:rsidRDefault="00E83C58" w:rsidP="00445605">
      <w:pPr>
        <w:pStyle w:val="MORI"/>
        <w:jc w:val="both"/>
      </w:pPr>
      <w:r w:rsidRPr="00EF4373">
        <w:rPr>
          <w:bCs/>
          <w:lang w:val="es-CL"/>
        </w:rPr>
        <w:t>En contraste, ha aumentado de 48% a 68% los que dicen que nunca se puede justificar.</w:t>
      </w:r>
      <w:r w:rsidR="00445605">
        <w:rPr>
          <w:bCs/>
          <w:lang w:val="es-CL"/>
        </w:rPr>
        <w:t xml:space="preserve"> </w:t>
      </w:r>
      <w:r w:rsidRPr="00EF4373">
        <w:rPr>
          <w:bCs/>
          <w:lang w:val="es-CL"/>
        </w:rPr>
        <w:t xml:space="preserve">No hay relación con edad y educación, sin embargo hay una fuerte relación con el partido político por el cual votan los chilenos. La UDI y RN son los dos partidos donde </w:t>
      </w:r>
      <w:r w:rsidR="00445605">
        <w:rPr>
          <w:bCs/>
          <w:lang w:val="es-CL"/>
        </w:rPr>
        <w:t xml:space="preserve">sólo </w:t>
      </w:r>
      <w:r w:rsidRPr="00EF4373">
        <w:rPr>
          <w:bCs/>
          <w:lang w:val="es-CL"/>
        </w:rPr>
        <w:t>un tercio (31%) y la mitad (49%) de sus militantes dicen que “nunca” hay razó</w:t>
      </w:r>
      <w:r w:rsidR="00445605">
        <w:rPr>
          <w:bCs/>
          <w:lang w:val="es-CL"/>
        </w:rPr>
        <w:t>n para hacer un golpe de estado</w:t>
      </w:r>
      <w:bookmarkStart w:id="0" w:name="_GoBack"/>
      <w:bookmarkEnd w:id="0"/>
      <w:r w:rsidR="00445605">
        <w:rPr>
          <w:bCs/>
          <w:lang w:val="es-CL"/>
        </w:rPr>
        <w:t xml:space="preserve">. </w:t>
      </w:r>
    </w:p>
    <w:p w14:paraId="327BC051" w14:textId="77777777" w:rsidR="006649FF" w:rsidRDefault="006649FF" w:rsidP="00445605">
      <w:pPr>
        <w:pStyle w:val="MORI"/>
        <w:jc w:val="both"/>
      </w:pPr>
    </w:p>
    <w:p w14:paraId="508DC0DC" w14:textId="77777777" w:rsidR="006649FF" w:rsidRDefault="00EF4373" w:rsidP="00445605">
      <w:pPr>
        <w:pStyle w:val="MORI"/>
        <w:jc w:val="both"/>
        <w:rPr>
          <w:b/>
        </w:rPr>
      </w:pPr>
      <w:r>
        <w:rPr>
          <w:b/>
        </w:rPr>
        <w:t xml:space="preserve">Imagen de la </w:t>
      </w:r>
      <w:r w:rsidRPr="00EF4373">
        <w:rPr>
          <w:b/>
        </w:rPr>
        <w:t>reconciliación</w:t>
      </w:r>
    </w:p>
    <w:p w14:paraId="692CA52A" w14:textId="77777777" w:rsidR="00EF4373" w:rsidRDefault="00EF4373" w:rsidP="00445605">
      <w:pPr>
        <w:pStyle w:val="MORI"/>
        <w:jc w:val="both"/>
        <w:rPr>
          <w:b/>
        </w:rPr>
      </w:pPr>
    </w:p>
    <w:p w14:paraId="7EE305C6" w14:textId="5E9BCAE7" w:rsidR="00CF1D05" w:rsidRDefault="00CF1D05" w:rsidP="00445605">
      <w:pPr>
        <w:pStyle w:val="MORI"/>
        <w:jc w:val="both"/>
      </w:pPr>
      <w:r>
        <w:t>Los chilenos no perciben una verdadera reconciliación.</w:t>
      </w:r>
    </w:p>
    <w:p w14:paraId="70D96244" w14:textId="77777777" w:rsidR="00CF1D05" w:rsidRPr="00CF1D05" w:rsidRDefault="00CF1D05" w:rsidP="00445605">
      <w:pPr>
        <w:pStyle w:val="MORI"/>
        <w:jc w:val="both"/>
      </w:pPr>
    </w:p>
    <w:p w14:paraId="70C93603" w14:textId="77777777" w:rsidR="00E83C58" w:rsidRDefault="00E83C58" w:rsidP="00445605">
      <w:pPr>
        <w:pStyle w:val="MORI"/>
        <w:jc w:val="both"/>
        <w:rPr>
          <w:bCs/>
          <w:lang w:val="es-CL"/>
        </w:rPr>
      </w:pPr>
      <w:r w:rsidRPr="00EF4373">
        <w:rPr>
          <w:bCs/>
          <w:lang w:val="es-CL"/>
        </w:rPr>
        <w:t>Un 75% de los chilenos considera que no nos hemos reconciliado, una evaluación que confirma la presencia negativa de la dictadura en nuestra sociedad.</w:t>
      </w:r>
    </w:p>
    <w:p w14:paraId="4E8C4017" w14:textId="77777777" w:rsidR="00445605" w:rsidRPr="00445605" w:rsidRDefault="00445605" w:rsidP="00445605">
      <w:pPr>
        <w:pStyle w:val="MORI"/>
        <w:jc w:val="both"/>
      </w:pPr>
    </w:p>
    <w:p w14:paraId="722A17A9" w14:textId="2B64A149" w:rsidR="00E83C58" w:rsidRPr="00445605" w:rsidRDefault="00E83C58" w:rsidP="00445605">
      <w:pPr>
        <w:pStyle w:val="MORI"/>
        <w:jc w:val="both"/>
      </w:pPr>
      <w:r w:rsidRPr="00EF4373">
        <w:rPr>
          <w:bCs/>
          <w:lang w:val="es-CL"/>
        </w:rPr>
        <w:t>Un 76% de los chilenos afirma que no se han olvidado aun las divisiones del pasado,</w:t>
      </w:r>
      <w:r w:rsidR="00445605">
        <w:rPr>
          <w:bCs/>
          <w:lang w:val="es-CL"/>
        </w:rPr>
        <w:t xml:space="preserve"> </w:t>
      </w:r>
      <w:r w:rsidRPr="00EF4373">
        <w:rPr>
          <w:bCs/>
          <w:lang w:val="es-CL"/>
        </w:rPr>
        <w:t>una confirmación de lo anterior.</w:t>
      </w:r>
    </w:p>
    <w:p w14:paraId="53DA90ED" w14:textId="77777777" w:rsidR="006649FF" w:rsidRPr="00EF4373" w:rsidRDefault="006649FF" w:rsidP="00445605">
      <w:pPr>
        <w:pStyle w:val="MORI"/>
        <w:jc w:val="both"/>
      </w:pPr>
    </w:p>
    <w:p w14:paraId="02F6A88C" w14:textId="77777777" w:rsidR="006649FF" w:rsidRDefault="00EF4373" w:rsidP="00445605">
      <w:pPr>
        <w:pStyle w:val="MORI"/>
        <w:jc w:val="both"/>
        <w:rPr>
          <w:b/>
        </w:rPr>
      </w:pPr>
      <w:r w:rsidRPr="00EF4373">
        <w:rPr>
          <w:b/>
        </w:rPr>
        <w:t>CONCLUSIONES</w:t>
      </w:r>
    </w:p>
    <w:p w14:paraId="4BACAB2C" w14:textId="77777777" w:rsidR="00EF4373" w:rsidRDefault="00EF4373" w:rsidP="00445605">
      <w:pPr>
        <w:pStyle w:val="MORI"/>
        <w:jc w:val="both"/>
        <w:rPr>
          <w:b/>
        </w:rPr>
      </w:pPr>
    </w:p>
    <w:p w14:paraId="3A2F8630" w14:textId="77777777" w:rsidR="00EF4373" w:rsidRDefault="00EF4373" w:rsidP="00445605">
      <w:pPr>
        <w:pStyle w:val="MORI"/>
        <w:jc w:val="both"/>
        <w:rPr>
          <w:b/>
        </w:rPr>
      </w:pPr>
      <w:r w:rsidRPr="006649FF">
        <w:rPr>
          <w:b/>
          <w:bCs/>
          <w:lang w:val="es-CL"/>
        </w:rPr>
        <w:t>A 25 años del inicio de la transición cerca de uno de cada cinco chilenos tienen una buena opinión de Pinochet o su gobierno, y justifica el golpe de estado.</w:t>
      </w:r>
    </w:p>
    <w:p w14:paraId="4C3BA9B1" w14:textId="77777777" w:rsidR="00EF4373" w:rsidRPr="00EF4373" w:rsidRDefault="00EF4373" w:rsidP="00445605">
      <w:pPr>
        <w:pStyle w:val="MORI"/>
        <w:jc w:val="both"/>
        <w:rPr>
          <w:b/>
        </w:rPr>
      </w:pPr>
    </w:p>
    <w:p w14:paraId="27E9C55E" w14:textId="77777777" w:rsidR="00E83C58" w:rsidRPr="00445605" w:rsidRDefault="00E83C58" w:rsidP="00445605">
      <w:pPr>
        <w:pStyle w:val="MORI"/>
        <w:jc w:val="both"/>
      </w:pPr>
      <w:r w:rsidRPr="006649FF">
        <w:rPr>
          <w:b/>
          <w:bCs/>
          <w:lang w:val="es-CL"/>
        </w:rPr>
        <w:t xml:space="preserve">Las opiniones favorables hacia la dictadura y el general Pinochet son mayores entre los chilenos y chilenas de más educación y edad, pero principalmente entre quienes declaran haber votado por la derecha y, especialmente, de los votantes de la UDI. </w:t>
      </w:r>
    </w:p>
    <w:p w14:paraId="758392A3" w14:textId="77777777" w:rsidR="00445605" w:rsidRDefault="00445605" w:rsidP="00445605">
      <w:pPr>
        <w:pStyle w:val="MORI"/>
        <w:jc w:val="both"/>
        <w:rPr>
          <w:b/>
          <w:bCs/>
          <w:lang w:val="es-CL"/>
        </w:rPr>
      </w:pPr>
    </w:p>
    <w:p w14:paraId="4E45675D" w14:textId="77777777" w:rsidR="00E83C58" w:rsidRPr="00445605" w:rsidRDefault="00E83C58" w:rsidP="00445605">
      <w:pPr>
        <w:pStyle w:val="MORI"/>
        <w:jc w:val="both"/>
      </w:pPr>
      <w:r w:rsidRPr="006649FF">
        <w:rPr>
          <w:b/>
          <w:bCs/>
          <w:lang w:val="es-CL"/>
        </w:rPr>
        <w:t>Este hecho ayuda a explicar las declaraciones del secretario general de la colectividad, pidiendo poner en contexto “el caso quemados”, en vez de condenarlo.</w:t>
      </w:r>
    </w:p>
    <w:p w14:paraId="579B27CF" w14:textId="77777777" w:rsidR="00E83C58" w:rsidRPr="00445605" w:rsidRDefault="00E83C58" w:rsidP="00445605">
      <w:pPr>
        <w:pStyle w:val="MORI"/>
        <w:jc w:val="both"/>
      </w:pPr>
    </w:p>
    <w:p w14:paraId="4C89CDA7" w14:textId="57941CBA" w:rsidR="00895B49" w:rsidRPr="00445605" w:rsidRDefault="00E83C58" w:rsidP="00445605">
      <w:pPr>
        <w:pStyle w:val="MORI"/>
        <w:jc w:val="both"/>
      </w:pPr>
      <w:r w:rsidRPr="006649FF">
        <w:rPr>
          <w:b/>
          <w:bCs/>
          <w:lang w:val="es-CL"/>
        </w:rPr>
        <w:t>En 2010, cuando la derecha retorna al poder, sin embargo, se observa un desplome important</w:t>
      </w:r>
      <w:r w:rsidR="00EF4373">
        <w:rPr>
          <w:b/>
          <w:bCs/>
          <w:lang w:val="es-CL"/>
        </w:rPr>
        <w:t>e de la imagen del pinochetismo.</w:t>
      </w:r>
      <w:r w:rsidRPr="006649FF">
        <w:rPr>
          <w:b/>
          <w:bCs/>
          <w:lang w:val="es-CL"/>
        </w:rPr>
        <w:t xml:space="preserve"> No parecen ser los argumentos de derechos humanos los que </w:t>
      </w:r>
      <w:r w:rsidR="00CF1D05">
        <w:rPr>
          <w:b/>
          <w:bCs/>
          <w:lang w:val="es-CL"/>
        </w:rPr>
        <w:t>producen este cambio</w:t>
      </w:r>
      <w:r w:rsidR="00594864">
        <w:rPr>
          <w:b/>
          <w:bCs/>
          <w:lang w:val="es-CL"/>
        </w:rPr>
        <w:t>, sino m</w:t>
      </w:r>
      <w:r w:rsidR="00445605">
        <w:rPr>
          <w:b/>
          <w:bCs/>
          <w:lang w:val="es-CL"/>
        </w:rPr>
        <w:t>á</w:t>
      </w:r>
      <w:r w:rsidR="00594864">
        <w:rPr>
          <w:b/>
          <w:bCs/>
          <w:lang w:val="es-CL"/>
        </w:rPr>
        <w:t xml:space="preserve">s bien la vuelta de la derecha </w:t>
      </w:r>
      <w:r w:rsidRPr="006649FF">
        <w:rPr>
          <w:b/>
          <w:bCs/>
          <w:lang w:val="es-CL"/>
        </w:rPr>
        <w:t>al poder.</w:t>
      </w:r>
      <w:r w:rsidR="00594864" w:rsidRPr="00445605">
        <w:t xml:space="preserve"> </w:t>
      </w:r>
    </w:p>
    <w:p w14:paraId="606E0DB9" w14:textId="77777777" w:rsidR="00895B49" w:rsidRPr="00445605" w:rsidRDefault="00895B49" w:rsidP="00445605">
      <w:pPr>
        <w:pStyle w:val="MORI"/>
        <w:jc w:val="both"/>
      </w:pPr>
    </w:p>
    <w:p w14:paraId="6EE24331" w14:textId="076A3B41" w:rsidR="00E83C58" w:rsidRPr="00445605" w:rsidRDefault="00E83C58" w:rsidP="00445605">
      <w:pPr>
        <w:pStyle w:val="MORI"/>
        <w:jc w:val="both"/>
      </w:pPr>
      <w:r w:rsidRPr="006649FF">
        <w:rPr>
          <w:b/>
          <w:bCs/>
          <w:lang w:val="es-CL"/>
        </w:rPr>
        <w:t xml:space="preserve">Esto ayuda a explicar el que las violaciones a los DDHH no esten universalmente condenadas </w:t>
      </w:r>
      <w:r w:rsidR="00895B49">
        <w:rPr>
          <w:b/>
          <w:bCs/>
          <w:lang w:val="es-CL"/>
        </w:rPr>
        <w:t xml:space="preserve">por todos </w:t>
      </w:r>
      <w:r w:rsidRPr="006649FF">
        <w:rPr>
          <w:b/>
          <w:bCs/>
          <w:lang w:val="es-CL"/>
        </w:rPr>
        <w:t>hoy día en Chile.</w:t>
      </w:r>
      <w:r w:rsidR="00594864">
        <w:rPr>
          <w:b/>
          <w:bCs/>
          <w:lang w:val="es-CL"/>
        </w:rPr>
        <w:t xml:space="preserve"> Un tema en que los chilenos, la política, y Chile </w:t>
      </w:r>
      <w:r w:rsidR="00445605">
        <w:rPr>
          <w:b/>
          <w:bCs/>
          <w:lang w:val="es-CL"/>
        </w:rPr>
        <w:t>está</w:t>
      </w:r>
      <w:r w:rsidR="00594864">
        <w:rPr>
          <w:b/>
          <w:bCs/>
          <w:lang w:val="es-CL"/>
        </w:rPr>
        <w:t xml:space="preserve"> al debe.</w:t>
      </w:r>
    </w:p>
    <w:p w14:paraId="7938B033" w14:textId="77777777" w:rsidR="006649FF" w:rsidRDefault="006649FF" w:rsidP="00445605">
      <w:pPr>
        <w:pStyle w:val="MORI"/>
        <w:jc w:val="both"/>
      </w:pPr>
    </w:p>
    <w:sectPr w:rsidR="006649FF" w:rsidSect="004A0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DBC"/>
    <w:multiLevelType w:val="hybridMultilevel"/>
    <w:tmpl w:val="B2FE4004"/>
    <w:lvl w:ilvl="0" w:tplc="483452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08E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C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40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497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23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CA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C6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CF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72271"/>
    <w:multiLevelType w:val="hybridMultilevel"/>
    <w:tmpl w:val="05CA93B0"/>
    <w:lvl w:ilvl="0" w:tplc="65C0F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CF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A2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46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44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A4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E9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08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6E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22C2B"/>
    <w:multiLevelType w:val="hybridMultilevel"/>
    <w:tmpl w:val="5CAA600C"/>
    <w:lvl w:ilvl="0" w:tplc="2FCCE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CD4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C2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08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B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08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C2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C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C8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B5082"/>
    <w:multiLevelType w:val="hybridMultilevel"/>
    <w:tmpl w:val="7F686162"/>
    <w:lvl w:ilvl="0" w:tplc="71FE8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C6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EA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5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C0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AD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2E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26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A9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46A81"/>
    <w:multiLevelType w:val="hybridMultilevel"/>
    <w:tmpl w:val="3034B6B4"/>
    <w:lvl w:ilvl="0" w:tplc="B43E3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0B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0B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2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8A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A7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AA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09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F"/>
    <w:rsid w:val="00445605"/>
    <w:rsid w:val="0048701C"/>
    <w:rsid w:val="004A032D"/>
    <w:rsid w:val="00594864"/>
    <w:rsid w:val="006649FF"/>
    <w:rsid w:val="007C2AAF"/>
    <w:rsid w:val="00895B49"/>
    <w:rsid w:val="00A9798A"/>
    <w:rsid w:val="00CE6FCF"/>
    <w:rsid w:val="00CF1D05"/>
    <w:rsid w:val="00E336B0"/>
    <w:rsid w:val="00E83C58"/>
    <w:rsid w:val="00EF4373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B22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RI">
    <w:name w:val="MORI"/>
    <w:basedOn w:val="Normal"/>
    <w:autoRedefine/>
    <w:qFormat/>
    <w:rsid w:val="00E336B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RI">
    <w:name w:val="MORI"/>
    <w:basedOn w:val="Normal"/>
    <w:autoRedefine/>
    <w:qFormat/>
    <w:rsid w:val="00E336B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2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8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7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1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516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56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900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553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817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1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3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53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Lagos</dc:creator>
  <cp:keywords/>
  <dc:description/>
  <cp:lastModifiedBy>Part</cp:lastModifiedBy>
  <cp:revision>3</cp:revision>
  <cp:lastPrinted>2015-08-04T14:31:00Z</cp:lastPrinted>
  <dcterms:created xsi:type="dcterms:W3CDTF">2015-08-04T21:50:00Z</dcterms:created>
  <dcterms:modified xsi:type="dcterms:W3CDTF">2015-08-04T21:51:00Z</dcterms:modified>
</cp:coreProperties>
</file>